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42" w:rsidRPr="004C5445" w:rsidRDefault="00F22842" w:rsidP="00F22842">
      <w:pPr>
        <w:autoSpaceDE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4C5445">
        <w:rPr>
          <w:rFonts w:asciiTheme="minorHAnsi" w:hAnsiTheme="minorHAnsi" w:cs="Arial"/>
          <w:bCs/>
          <w:sz w:val="28"/>
          <w:szCs w:val="28"/>
        </w:rPr>
        <w:t xml:space="preserve">PROGRAM WARSZTATÓW TRENINGOWYCH DLA NAUCZYCIELI : </w:t>
      </w:r>
    </w:p>
    <w:p w:rsidR="00E33780" w:rsidRPr="004C5445" w:rsidRDefault="00F22842" w:rsidP="00F22842">
      <w:pPr>
        <w:autoSpaceDE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4C5445">
        <w:rPr>
          <w:rFonts w:asciiTheme="minorHAnsi" w:hAnsiTheme="minorHAnsi" w:cs="Arial"/>
          <w:bCs/>
          <w:sz w:val="28"/>
          <w:szCs w:val="28"/>
        </w:rPr>
        <w:t xml:space="preserve">pt. </w:t>
      </w:r>
      <w:r w:rsidR="005F0E29" w:rsidRPr="004C5445">
        <w:rPr>
          <w:rFonts w:asciiTheme="minorHAnsi" w:hAnsiTheme="minorHAnsi" w:cs="Arial"/>
          <w:bCs/>
          <w:sz w:val="28"/>
          <w:szCs w:val="28"/>
        </w:rPr>
        <w:t xml:space="preserve">„Bioróżnorodność rzek </w:t>
      </w:r>
      <w:r w:rsidR="004C5445">
        <w:rPr>
          <w:rFonts w:asciiTheme="minorHAnsi" w:hAnsiTheme="minorHAnsi" w:cs="Arial"/>
          <w:bCs/>
          <w:sz w:val="28"/>
          <w:szCs w:val="28"/>
        </w:rPr>
        <w:t>i dolin rzecznych oraz znaczenie</w:t>
      </w:r>
      <w:r w:rsidR="005F0E29" w:rsidRPr="004C5445">
        <w:rPr>
          <w:rFonts w:asciiTheme="minorHAnsi" w:hAnsiTheme="minorHAnsi" w:cs="Arial"/>
          <w:bCs/>
          <w:sz w:val="28"/>
          <w:szCs w:val="28"/>
        </w:rPr>
        <w:t xml:space="preserve"> wody w przyrodzie w kontekście zmian klimatycznych”</w:t>
      </w:r>
    </w:p>
    <w:p w:rsidR="00E33780" w:rsidRPr="004C5445" w:rsidRDefault="00E33780">
      <w:pPr>
        <w:autoSpaceDE w:val="0"/>
        <w:rPr>
          <w:rFonts w:asciiTheme="minorHAnsi" w:hAnsiTheme="minorHAnsi" w:cs="Arial"/>
          <w:sz w:val="28"/>
          <w:szCs w:val="28"/>
        </w:rPr>
      </w:pPr>
    </w:p>
    <w:p w:rsidR="00E33780" w:rsidRPr="004C5445" w:rsidRDefault="005F0E29" w:rsidP="00F22842">
      <w:pPr>
        <w:autoSpaceDE w:val="0"/>
        <w:jc w:val="center"/>
        <w:rPr>
          <w:rFonts w:asciiTheme="minorHAnsi" w:hAnsiTheme="minorHAnsi" w:cs="Arial"/>
        </w:rPr>
      </w:pPr>
      <w:r w:rsidRPr="004C5445">
        <w:rPr>
          <w:rFonts w:asciiTheme="minorHAnsi" w:hAnsiTheme="minorHAnsi" w:cs="Arial"/>
        </w:rPr>
        <w:t xml:space="preserve">Czas trwania warsztatów: </w:t>
      </w:r>
      <w:r w:rsidR="00F22842" w:rsidRPr="004C5445">
        <w:rPr>
          <w:rFonts w:asciiTheme="minorHAnsi" w:hAnsiTheme="minorHAnsi" w:cs="Arial"/>
        </w:rPr>
        <w:t>1 dzień: 8 godzin; 2 dzień: 6 godzin</w:t>
      </w:r>
    </w:p>
    <w:p w:rsidR="00E33780" w:rsidRPr="004C5445" w:rsidRDefault="005F0E29" w:rsidP="00F22842">
      <w:pPr>
        <w:autoSpaceDE w:val="0"/>
        <w:jc w:val="center"/>
        <w:rPr>
          <w:rFonts w:asciiTheme="minorHAnsi" w:hAnsiTheme="minorHAnsi" w:cs="Arial"/>
        </w:rPr>
      </w:pPr>
      <w:r w:rsidRPr="004C5445">
        <w:rPr>
          <w:rFonts w:asciiTheme="minorHAnsi" w:hAnsiTheme="minorHAnsi" w:cs="Arial"/>
        </w:rPr>
        <w:t>Miejsce: Muzeum Przyrodnicze w Ciężkowicach, Rezerwat Skamieniałe Miasto</w:t>
      </w:r>
    </w:p>
    <w:p w:rsidR="00E33780" w:rsidRPr="004C5445" w:rsidRDefault="00E33780">
      <w:pPr>
        <w:rPr>
          <w:rFonts w:asciiTheme="minorHAnsi" w:hAnsiTheme="minorHAnsi" w:cs="Arial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678"/>
        <w:gridCol w:w="7042"/>
      </w:tblGrid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>GODZINA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 w:rsidP="00F22842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>TEMAT ZAJĘĆ</w:t>
            </w:r>
          </w:p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 w:rsidP="00F22842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>1 DZIEŃ WARSZTATY</w:t>
            </w:r>
          </w:p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11.00-12.00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Powitanie. Wprowadzenie do tematu – ćwiczenie „ Różnorodność jest piękna” </w:t>
            </w:r>
          </w:p>
          <w:p w:rsidR="00F22842" w:rsidRPr="004C5445" w:rsidRDefault="00F22842" w:rsidP="004C5445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Integracja grupy, gry i z zabawy ruchowe wprowadzające do tematu bioróżnorodności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12.00-13.00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  <w:iCs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Bioróżnorodność - </w:t>
            </w:r>
            <w:r w:rsidRPr="004C5445">
              <w:rPr>
                <w:rFonts w:asciiTheme="minorHAnsi" w:hAnsiTheme="minorHAnsi" w:cs="Arial"/>
                <w:b/>
                <w:iCs/>
              </w:rPr>
              <w:t>Prezentacja multimedialna.</w:t>
            </w:r>
          </w:p>
          <w:p w:rsidR="00F22842" w:rsidRPr="004C5445" w:rsidRDefault="00F22842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Zdefiniowanie słowa kluczowego – bioróżnorodność jako pojęcia wielowymiarowego obejmującego wszelką różnorodność biologiczną od poziomu genów po całość biosfery.</w:t>
            </w:r>
          </w:p>
          <w:p w:rsidR="00F22842" w:rsidRPr="004C5445" w:rsidRDefault="00F22842" w:rsidP="004C5445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Zwrócenie uwagi na konieczność zachowania bioróżnorodności dla ludzkości,  ze względu na znaczącą  wartość ekonomiczną, społeczną, estetyczną, medyczną i ekologiczną.</w:t>
            </w:r>
          </w:p>
        </w:tc>
      </w:tr>
      <w:tr w:rsidR="00F22842" w:rsidRPr="004C5445" w:rsidTr="00F22842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13.00-13.15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/>
              </w:rPr>
            </w:pPr>
            <w:r w:rsidRPr="004C5445">
              <w:rPr>
                <w:rFonts w:asciiTheme="minorHAnsi" w:hAnsiTheme="minorHAnsi"/>
              </w:rPr>
              <w:t>Przerwa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13.15-14.15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>„Plątanina życia ” -  zabawy dydaktyczne</w:t>
            </w:r>
          </w:p>
          <w:p w:rsidR="00F22842" w:rsidRPr="004C5445" w:rsidRDefault="00F22842" w:rsidP="004C5445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Zestaw gier i zabaw dydaktycznych, które zwracają uwagę na uzależnienie człowieka od środowiska naturalnego, wskazują sieć powiązań pomiędzy żywymi organizmami.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14.15-15.00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D679F1" w:rsidP="004C5445">
            <w:pPr>
              <w:snapToGrid w:val="0"/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</w:rPr>
              <w:t>Przerwa</w:t>
            </w:r>
            <w:r>
              <w:rPr>
                <w:rFonts w:asciiTheme="minorHAnsi" w:hAnsiTheme="minorHAnsi" w:cs="Arial"/>
              </w:rPr>
              <w:t xml:space="preserve"> obiadowa</w:t>
            </w:r>
          </w:p>
        </w:tc>
      </w:tr>
      <w:tr w:rsidR="00F22842" w:rsidRPr="004C5445" w:rsidTr="00F22842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15.00-16.00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9F1" w:rsidRPr="004C5445" w:rsidRDefault="00D679F1" w:rsidP="00D679F1">
            <w:pPr>
              <w:snapToGrid w:val="0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Wartość ekologiczna dolin rzecznych </w:t>
            </w:r>
          </w:p>
          <w:p w:rsidR="00D679F1" w:rsidRPr="004C5445" w:rsidRDefault="00D679F1" w:rsidP="00D679F1">
            <w:pPr>
              <w:snapToGrid w:val="0"/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Prezentacja multimedialna</w:t>
            </w:r>
          </w:p>
          <w:p w:rsidR="00F22842" w:rsidRPr="004C5445" w:rsidRDefault="00D679F1" w:rsidP="00D679F1">
            <w:pPr>
              <w:snapToGrid w:val="0"/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  <w:iCs/>
              </w:rPr>
              <w:t>Pokazanie wartości ekologicznej i bioróżnorodności na przykładzie  rzek i dolin rzecznych.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16.00-17.30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Zagrożenia bioróżnorodności dolin rzecznych – prezentacja multimedialna  </w:t>
            </w:r>
          </w:p>
          <w:p w:rsidR="00F22842" w:rsidRPr="004C5445" w:rsidRDefault="00F22842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>Gospodarcza działalność człowieka powoduje niszczenie siedlisk  wielu gatunków flory i fauny powodując ich wymieranie.</w:t>
            </w:r>
          </w:p>
          <w:p w:rsidR="00F22842" w:rsidRPr="004C5445" w:rsidRDefault="00F22842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 xml:space="preserve">Ekosystemy wodne są zagrożone przekształceniem rzeźby koryt rzecznych i ich dolin, co jest przyczyną zaniku plaż, wysepek, starorzeczy i tym samym likwidacji siedlisk dla wielu organizmów. </w:t>
            </w:r>
          </w:p>
          <w:p w:rsidR="00F22842" w:rsidRPr="004C5445" w:rsidRDefault="00F22842" w:rsidP="004C5445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 xml:space="preserve">Poruszenie problemu, że zagospodarowanie rzek  powoduje odcinanie fragmentów rzek (przerywają ich ciągłość) i uniemożliwia wędrówki ryb i innych organizmów w poszukiwaniu pokarmu, </w:t>
            </w:r>
            <w:r w:rsidRPr="004C5445">
              <w:rPr>
                <w:rFonts w:asciiTheme="minorHAnsi" w:hAnsiTheme="minorHAnsi" w:cs="Arial"/>
                <w:iCs/>
              </w:rPr>
              <w:lastRenderedPageBreak/>
              <w:t xml:space="preserve">schronienia, właściwej temperatury wody i jej zakwaszenia. W efekcie wrażliwe gatunki ryb takie jak łosoś, płoć, jesiotr nie występują </w:t>
            </w:r>
            <w:r w:rsidR="00FA29D9">
              <w:rPr>
                <w:rFonts w:asciiTheme="minorHAnsi" w:hAnsiTheme="minorHAnsi" w:cs="Arial"/>
                <w:iCs/>
              </w:rPr>
              <w:br/>
            </w:r>
            <w:r w:rsidRPr="004C5445">
              <w:rPr>
                <w:rFonts w:asciiTheme="minorHAnsi" w:hAnsiTheme="minorHAnsi" w:cs="Arial"/>
                <w:iCs/>
              </w:rPr>
              <w:t>w rzekach.</w:t>
            </w:r>
          </w:p>
        </w:tc>
      </w:tr>
      <w:tr w:rsidR="00F22842" w:rsidRPr="004C5445" w:rsidTr="00F22842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17.30-17.45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 w:rsidP="004C5445">
            <w:pPr>
              <w:snapToGrid w:val="0"/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</w:rPr>
              <w:t>Przerwa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17.45-18.30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Działania </w:t>
            </w:r>
            <w:proofErr w:type="spellStart"/>
            <w:r w:rsidRPr="004C5445">
              <w:rPr>
                <w:rFonts w:asciiTheme="minorHAnsi" w:hAnsiTheme="minorHAnsi" w:cs="Arial"/>
                <w:b/>
              </w:rPr>
              <w:t>renaturalizacji</w:t>
            </w:r>
            <w:proofErr w:type="spellEnd"/>
            <w:r w:rsidRPr="004C5445">
              <w:rPr>
                <w:rFonts w:asciiTheme="minorHAnsi" w:hAnsiTheme="minorHAnsi" w:cs="Arial"/>
                <w:b/>
              </w:rPr>
              <w:t xml:space="preserve"> i ochrony rzeki Białej podejmowane w ciągu ostatnich lat</w:t>
            </w:r>
          </w:p>
          <w:p w:rsidR="00F22842" w:rsidRPr="004C5445" w:rsidRDefault="00F22842">
            <w:pPr>
              <w:snapToGrid w:val="0"/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  <w:iCs/>
              </w:rPr>
              <w:t>Prezentacja multimedialna</w:t>
            </w:r>
            <w:r w:rsidRPr="004C5445">
              <w:rPr>
                <w:rFonts w:asciiTheme="minorHAnsi" w:hAnsiTheme="minorHAnsi" w:cs="Arial"/>
              </w:rPr>
              <w:t xml:space="preserve"> </w:t>
            </w:r>
          </w:p>
          <w:p w:rsidR="00F22842" w:rsidRPr="004C5445" w:rsidRDefault="00F22842" w:rsidP="004C5445">
            <w:pPr>
              <w:snapToGrid w:val="0"/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 xml:space="preserve">Działania projektowe prowadzone przez RZGW, IOP zmierzające do  przywrócenia rzece Biała Tarnowska i jej dolinie ciągłości ekologicznej i związanych z tym funkcji przyrodniczych. </w:t>
            </w:r>
          </w:p>
        </w:tc>
      </w:tr>
      <w:tr w:rsidR="00F22842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D679F1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18.30-19.30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Formy ochrony Doliny Rzeki Białej </w:t>
            </w:r>
          </w:p>
          <w:p w:rsidR="00F22842" w:rsidRPr="004C5445" w:rsidRDefault="00F22842" w:rsidP="004C5445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 xml:space="preserve">Na obszarze doliny znajduje się Rezerwat Przyrody Nieożywionej „Skamieniałe miasto”, wyznaczono obszary NATURA 2000 ze względu na występowanie chronionych gatunków ryb (boleń, brzanka, głowacz </w:t>
            </w:r>
            <w:proofErr w:type="spellStart"/>
            <w:r w:rsidRPr="004C5445">
              <w:rPr>
                <w:rFonts w:asciiTheme="minorHAnsi" w:hAnsiTheme="minorHAnsi" w:cs="Arial"/>
                <w:iCs/>
              </w:rPr>
              <w:t>białopłetwy</w:t>
            </w:r>
            <w:proofErr w:type="spellEnd"/>
            <w:r w:rsidRPr="004C5445">
              <w:rPr>
                <w:rFonts w:asciiTheme="minorHAnsi" w:hAnsiTheme="minorHAnsi" w:cs="Arial"/>
                <w:iCs/>
              </w:rPr>
              <w:t xml:space="preserve">, minóg strumieniowy i łosoś (aktualnie pochodzący </w:t>
            </w:r>
            <w:r w:rsidR="00FA29D9">
              <w:rPr>
                <w:rFonts w:asciiTheme="minorHAnsi" w:hAnsiTheme="minorHAnsi" w:cs="Arial"/>
                <w:iCs/>
              </w:rPr>
              <w:br/>
            </w:r>
            <w:bookmarkStart w:id="0" w:name="_GoBack"/>
            <w:bookmarkEnd w:id="0"/>
            <w:r w:rsidRPr="004C5445">
              <w:rPr>
                <w:rFonts w:asciiTheme="minorHAnsi" w:hAnsiTheme="minorHAnsi" w:cs="Arial"/>
                <w:iCs/>
              </w:rPr>
              <w:t xml:space="preserve">z zarybiania). Występowanie siedlisk związanych z </w:t>
            </w:r>
            <w:hyperlink r:id="rId7" w:history="1">
              <w:r w:rsidRPr="004C5445">
                <w:rPr>
                  <w:rStyle w:val="Hipercze"/>
                  <w:rFonts w:asciiTheme="minorHAnsi" w:hAnsiTheme="minorHAnsi"/>
                </w:rPr>
                <w:t>kamieńcami</w:t>
              </w:r>
            </w:hyperlink>
            <w:r w:rsidRPr="004C5445">
              <w:rPr>
                <w:rFonts w:asciiTheme="minorHAnsi" w:hAnsiTheme="minorHAnsi" w:cs="Arial"/>
                <w:iCs/>
              </w:rPr>
              <w:t>. Dolina Biała Tarnowska jest korytarzem ekologicznym o znaczeniu krajowym i regionalnym. Może zapewniać łączność obszarów NATURA 2000 pomiędzy obszarami alpejskim i kontynentalnym</w:t>
            </w:r>
          </w:p>
        </w:tc>
      </w:tr>
      <w:tr w:rsidR="00C3206C" w:rsidRPr="004C5445" w:rsidTr="00F2284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6C" w:rsidRDefault="00C3206C">
            <w:pPr>
              <w:snapToGri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20.00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6C" w:rsidRPr="002B1EDC" w:rsidRDefault="00C3206C">
            <w:pPr>
              <w:snapToGrid w:val="0"/>
              <w:rPr>
                <w:rFonts w:asciiTheme="minorHAnsi" w:hAnsiTheme="minorHAnsi" w:cs="Arial"/>
              </w:rPr>
            </w:pPr>
            <w:r w:rsidRPr="002B1EDC">
              <w:rPr>
                <w:rFonts w:asciiTheme="minorHAnsi" w:hAnsiTheme="minorHAnsi" w:cs="Arial"/>
              </w:rPr>
              <w:t>Kolacja</w:t>
            </w:r>
          </w:p>
        </w:tc>
      </w:tr>
      <w:tr w:rsidR="00F22842" w:rsidRPr="004C5445" w:rsidTr="00F22842">
        <w:trPr>
          <w:trHeight w:val="42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F22842" w:rsidP="00F22842">
            <w:pPr>
              <w:snapToGri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842" w:rsidRPr="004C5445" w:rsidRDefault="00F22842" w:rsidP="00F22842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C5445">
              <w:rPr>
                <w:rFonts w:asciiTheme="minorHAnsi" w:hAnsiTheme="minorHAnsi" w:cs="Arial"/>
                <w:b/>
                <w:sz w:val="24"/>
                <w:szCs w:val="24"/>
              </w:rPr>
              <w:t>2  DZIEŃ- ZAJĘCIA W PLENERZE</w:t>
            </w:r>
          </w:p>
          <w:p w:rsidR="00F22842" w:rsidRPr="004C5445" w:rsidRDefault="00F22842" w:rsidP="00F22842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2842" w:rsidRPr="004C5445" w:rsidTr="00F22842">
        <w:trPr>
          <w:trHeight w:val="1500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snapToGrid w:val="0"/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</w:rPr>
              <w:t>9:00 – 15:00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42" w:rsidRPr="004C5445" w:rsidRDefault="00F22842">
            <w:pPr>
              <w:rPr>
                <w:rFonts w:asciiTheme="minorHAnsi" w:hAnsiTheme="minorHAnsi" w:cs="Arial"/>
                <w:b/>
              </w:rPr>
            </w:pPr>
            <w:r w:rsidRPr="004C5445">
              <w:rPr>
                <w:rFonts w:asciiTheme="minorHAnsi" w:hAnsiTheme="minorHAnsi" w:cs="Arial"/>
                <w:b/>
              </w:rPr>
              <w:t xml:space="preserve">Wycieczka nad dolinę rzeki Białej Tarnowskiej. </w:t>
            </w:r>
          </w:p>
          <w:p w:rsidR="00F22842" w:rsidRPr="004C5445" w:rsidRDefault="00F22842">
            <w:pPr>
              <w:rPr>
                <w:rFonts w:asciiTheme="minorHAnsi" w:hAnsiTheme="minorHAnsi" w:cs="Arial"/>
              </w:rPr>
            </w:pPr>
            <w:r w:rsidRPr="004C5445">
              <w:rPr>
                <w:rFonts w:asciiTheme="minorHAnsi" w:hAnsiTheme="minorHAnsi" w:cs="Arial"/>
              </w:rPr>
              <w:t>Ćwiczenia terenowe</w:t>
            </w:r>
          </w:p>
          <w:p w:rsidR="00F22842" w:rsidRPr="004C5445" w:rsidRDefault="00F22842">
            <w:pPr>
              <w:rPr>
                <w:rFonts w:asciiTheme="minorHAnsi" w:hAnsiTheme="minorHAnsi" w:cs="Arial"/>
                <w:iCs/>
              </w:rPr>
            </w:pPr>
            <w:r w:rsidRPr="004C5445">
              <w:rPr>
                <w:rFonts w:asciiTheme="minorHAnsi" w:hAnsiTheme="minorHAnsi" w:cs="Arial"/>
                <w:iCs/>
              </w:rPr>
              <w:t xml:space="preserve">Wyznaczanie fizycznych i biologicznych właściwości wody doliny rzeki Białej Tarnowskiej. Poznanie walorów przyrodniczych i krajobrazowych rzeki Białej, jej bioróżnorodności i zagrożeń. </w:t>
            </w:r>
          </w:p>
          <w:p w:rsidR="00F22842" w:rsidRPr="004C5445" w:rsidRDefault="00F22842">
            <w:pPr>
              <w:rPr>
                <w:rFonts w:asciiTheme="minorHAnsi" w:hAnsiTheme="minorHAnsi" w:cs="Arial"/>
                <w:iCs/>
              </w:rPr>
            </w:pPr>
          </w:p>
          <w:p w:rsidR="00F22842" w:rsidRPr="00FA29D9" w:rsidRDefault="00F22842">
            <w:pPr>
              <w:rPr>
                <w:rFonts w:asciiTheme="minorHAnsi" w:hAnsiTheme="minorHAnsi" w:cs="Arial"/>
                <w:b/>
              </w:rPr>
            </w:pPr>
            <w:r w:rsidRPr="00FA29D9">
              <w:rPr>
                <w:rFonts w:asciiTheme="minorHAnsi" w:hAnsiTheme="minorHAnsi" w:cs="Arial"/>
                <w:b/>
              </w:rPr>
              <w:t>Zwiedzanie Kamiennego Miasta z przewodnikiem</w:t>
            </w:r>
          </w:p>
        </w:tc>
      </w:tr>
    </w:tbl>
    <w:p w:rsidR="005F0E29" w:rsidRPr="004C5445" w:rsidRDefault="005F0E29">
      <w:pPr>
        <w:rPr>
          <w:rFonts w:asciiTheme="minorHAnsi" w:hAnsiTheme="minorHAnsi"/>
        </w:rPr>
      </w:pPr>
    </w:p>
    <w:sectPr w:rsidR="005F0E29" w:rsidRPr="004C5445" w:rsidSect="00F2284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48" w:rsidRDefault="00B93F48" w:rsidP="00F22842">
      <w:r>
        <w:separator/>
      </w:r>
    </w:p>
  </w:endnote>
  <w:endnote w:type="continuationSeparator" w:id="0">
    <w:p w:rsidR="00B93F48" w:rsidRDefault="00B93F48" w:rsidP="00F2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723"/>
      <w:gridCol w:w="1565"/>
    </w:tblGrid>
    <w:tr w:rsidR="00F22842" w:rsidTr="00F22842">
      <w:tc>
        <w:tcPr>
          <w:tcW w:w="9039" w:type="dxa"/>
        </w:tcPr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16"/>
              <w:szCs w:val="16"/>
              <w:lang w:eastAsia="pl-PL"/>
            </w:rPr>
          </w:pPr>
        </w:p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16"/>
              <w:szCs w:val="16"/>
              <w:lang w:eastAsia="pl-PL"/>
            </w:rPr>
          </w:pPr>
        </w:p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16"/>
              <w:szCs w:val="16"/>
              <w:lang w:eastAsia="pl-PL"/>
            </w:rPr>
          </w:pPr>
          <w:r w:rsidRPr="00F22842">
            <w:rPr>
              <w:sz w:val="16"/>
              <w:szCs w:val="16"/>
              <w:lang w:eastAsia="pl-PL"/>
            </w:rPr>
            <w:t>Projekt „Unikalne walory Doliny Rzeki Białej wartością społeczną i ekonomiczną regionu”</w:t>
          </w:r>
        </w:p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16"/>
              <w:szCs w:val="16"/>
              <w:lang w:eastAsia="pl-PL"/>
            </w:rPr>
          </w:pPr>
          <w:r w:rsidRPr="00F22842">
            <w:rPr>
              <w:sz w:val="16"/>
              <w:szCs w:val="16"/>
              <w:lang w:eastAsia="pl-PL"/>
            </w:rPr>
            <w:t>korzysta z dofinansowania w kwocie 919 071 zł pochodzącego z Islandii, Liechtensteinu i Norwegii</w:t>
          </w:r>
        </w:p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16"/>
              <w:szCs w:val="16"/>
              <w:lang w:eastAsia="pl-PL"/>
            </w:rPr>
          </w:pPr>
          <w:r w:rsidRPr="00F22842">
            <w:rPr>
              <w:sz w:val="16"/>
              <w:szCs w:val="16"/>
              <w:lang w:eastAsia="pl-PL"/>
            </w:rPr>
            <w:t>w ramach funduszy EOG.</w:t>
          </w:r>
        </w:p>
        <w:p w:rsidR="00F22842" w:rsidRPr="00F22842" w:rsidRDefault="00F22842" w:rsidP="00F22842">
          <w:pPr>
            <w:jc w:val="right"/>
            <w:rPr>
              <w:sz w:val="25"/>
              <w:szCs w:val="25"/>
              <w:lang w:eastAsia="pl-PL"/>
            </w:rPr>
          </w:pPr>
        </w:p>
      </w:tc>
      <w:tc>
        <w:tcPr>
          <w:tcW w:w="1568" w:type="dxa"/>
        </w:tcPr>
        <w:p w:rsidR="00F22842" w:rsidRPr="00F22842" w:rsidRDefault="00F22842" w:rsidP="00F22842">
          <w:pPr>
            <w:jc w:val="right"/>
            <w:rPr>
              <w:sz w:val="25"/>
              <w:szCs w:val="25"/>
              <w:lang w:eastAsia="pl-PL"/>
            </w:rPr>
          </w:pPr>
          <w:r>
            <w:rPr>
              <w:noProof/>
              <w:sz w:val="25"/>
              <w:szCs w:val="25"/>
              <w:lang w:eastAsia="pl-PL"/>
            </w:rPr>
            <w:drawing>
              <wp:inline distT="0" distB="0" distL="0" distR="0">
                <wp:extent cx="847725" cy="847725"/>
                <wp:effectExtent l="0" t="0" r="0" b="0"/>
                <wp:docPr id="27" name="Obraz 0" descr="EEA+Grants+-+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EEA+Grants+-+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842" w:rsidRDefault="00F22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48" w:rsidRDefault="00B93F48" w:rsidP="00F22842">
      <w:r>
        <w:separator/>
      </w:r>
    </w:p>
  </w:footnote>
  <w:footnote w:type="continuationSeparator" w:id="0">
    <w:p w:rsidR="00B93F48" w:rsidRDefault="00B93F48" w:rsidP="00F2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90" w:type="dxa"/>
      <w:tblInd w:w="-1449" w:type="dxa"/>
      <w:tblLook w:val="04A0"/>
    </w:tblPr>
    <w:tblGrid>
      <w:gridCol w:w="1192"/>
      <w:gridCol w:w="1537"/>
      <w:gridCol w:w="1537"/>
      <w:gridCol w:w="1538"/>
      <w:gridCol w:w="1538"/>
      <w:gridCol w:w="1538"/>
      <w:gridCol w:w="1538"/>
      <w:gridCol w:w="1572"/>
    </w:tblGrid>
    <w:tr w:rsidR="00F22842" w:rsidRPr="00F22842" w:rsidTr="00F22842">
      <w:trPr>
        <w:trHeight w:val="1291"/>
      </w:trPr>
      <w:tc>
        <w:tcPr>
          <w:tcW w:w="1192" w:type="dxa"/>
        </w:tcPr>
        <w:p w:rsidR="00F22842" w:rsidRPr="00F22842" w:rsidRDefault="00F22842" w:rsidP="00F22842">
          <w:pPr>
            <w:pStyle w:val="Bezodstpw"/>
            <w:suppressAutoHyphens/>
            <w:rPr>
              <w:sz w:val="25"/>
              <w:szCs w:val="25"/>
              <w:lang w:eastAsia="pl-PL"/>
            </w:rPr>
          </w:pPr>
        </w:p>
      </w:tc>
      <w:tc>
        <w:tcPr>
          <w:tcW w:w="1537" w:type="dxa"/>
        </w:tcPr>
        <w:p w:rsidR="00F22842" w:rsidRPr="00F22842" w:rsidRDefault="00F22842" w:rsidP="00050025">
          <w:pPr>
            <w:rPr>
              <w:sz w:val="25"/>
              <w:szCs w:val="25"/>
              <w:lang w:eastAsia="pl-PL"/>
            </w:rPr>
          </w:pPr>
        </w:p>
      </w:tc>
      <w:tc>
        <w:tcPr>
          <w:tcW w:w="1537" w:type="dxa"/>
        </w:tcPr>
        <w:p w:rsidR="00F22842" w:rsidRPr="00F22842" w:rsidRDefault="00F22842" w:rsidP="00F22842">
          <w:pPr>
            <w:pStyle w:val="Bezodstpw"/>
            <w:suppressAutoHyphens/>
            <w:rPr>
              <w:sz w:val="25"/>
              <w:szCs w:val="25"/>
              <w:lang w:eastAsia="pl-PL"/>
            </w:rPr>
          </w:pPr>
          <w:r>
            <w:rPr>
              <w:noProof/>
              <w:sz w:val="25"/>
              <w:szCs w:val="25"/>
              <w:lang w:eastAsia="pl-PL"/>
            </w:rPr>
            <w:drawing>
              <wp:inline distT="0" distB="0" distL="0" distR="0">
                <wp:extent cx="676275" cy="571500"/>
                <wp:effectExtent l="19050" t="0" r="9525" b="0"/>
                <wp:docPr id="5" name="Obraz 2" descr="p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dxa"/>
        </w:tcPr>
        <w:p w:rsidR="00F22842" w:rsidRPr="00F22842" w:rsidRDefault="00F22842" w:rsidP="00F22842">
          <w:pPr>
            <w:jc w:val="right"/>
            <w:rPr>
              <w:sz w:val="25"/>
              <w:szCs w:val="25"/>
              <w:lang w:eastAsia="pl-PL"/>
            </w:rPr>
          </w:pPr>
        </w:p>
      </w:tc>
      <w:tc>
        <w:tcPr>
          <w:tcW w:w="1538" w:type="dxa"/>
        </w:tcPr>
        <w:p w:rsidR="00F22842" w:rsidRPr="00F22842" w:rsidRDefault="00F22842" w:rsidP="00F22842">
          <w:pPr>
            <w:pStyle w:val="Bezodstpw"/>
            <w:suppressAutoHyphens/>
            <w:rPr>
              <w:sz w:val="25"/>
              <w:szCs w:val="25"/>
              <w:lang w:eastAsia="pl-PL"/>
            </w:rPr>
          </w:pPr>
        </w:p>
      </w:tc>
      <w:tc>
        <w:tcPr>
          <w:tcW w:w="1538" w:type="dxa"/>
        </w:tcPr>
        <w:p w:rsidR="00F22842" w:rsidRPr="00F22842" w:rsidRDefault="00F22842" w:rsidP="00F22842">
          <w:pPr>
            <w:jc w:val="right"/>
            <w:rPr>
              <w:sz w:val="25"/>
              <w:szCs w:val="25"/>
              <w:lang w:eastAsia="pl-PL"/>
            </w:rPr>
          </w:pPr>
          <w:r>
            <w:rPr>
              <w:noProof/>
              <w:sz w:val="25"/>
              <w:szCs w:val="25"/>
              <w:lang w:eastAsia="pl-PL"/>
            </w:rPr>
            <w:drawing>
              <wp:inline distT="0" distB="0" distL="0" distR="0">
                <wp:extent cx="581025" cy="666750"/>
                <wp:effectExtent l="19050" t="0" r="9525" b="0"/>
                <wp:docPr id="4" name="Obraz 1" descr="Herb Ci&amp;eogon;&amp;zdot;kow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erb Ci&amp;eogon;&amp;zdot;kow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dxa"/>
        </w:tcPr>
        <w:p w:rsidR="00F22842" w:rsidRPr="00F22842" w:rsidRDefault="00F22842" w:rsidP="00F22842">
          <w:pPr>
            <w:pStyle w:val="Bezodstpw"/>
            <w:suppressAutoHyphens/>
            <w:jc w:val="center"/>
            <w:rPr>
              <w:sz w:val="25"/>
              <w:szCs w:val="25"/>
              <w:lang w:eastAsia="pl-PL"/>
            </w:rPr>
          </w:pPr>
          <w:r w:rsidRPr="00F22842">
            <w:rPr>
              <w:sz w:val="25"/>
              <w:szCs w:val="25"/>
              <w:lang w:eastAsia="pl-PL"/>
            </w:rPr>
            <w:t xml:space="preserve">   </w:t>
          </w:r>
        </w:p>
      </w:tc>
      <w:tc>
        <w:tcPr>
          <w:tcW w:w="1572" w:type="dxa"/>
        </w:tcPr>
        <w:p w:rsidR="00F22842" w:rsidRPr="00F22842" w:rsidRDefault="00F22842" w:rsidP="00F22842">
          <w:pPr>
            <w:jc w:val="right"/>
            <w:rPr>
              <w:sz w:val="25"/>
              <w:szCs w:val="25"/>
              <w:lang w:eastAsia="pl-PL"/>
            </w:rPr>
          </w:pPr>
        </w:p>
      </w:tc>
    </w:tr>
  </w:tbl>
  <w:p w:rsidR="00F22842" w:rsidRDefault="00F228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842"/>
    <w:rsid w:val="002B1EDC"/>
    <w:rsid w:val="004C5445"/>
    <w:rsid w:val="005F0E29"/>
    <w:rsid w:val="009F11C9"/>
    <w:rsid w:val="00AC040D"/>
    <w:rsid w:val="00B93F48"/>
    <w:rsid w:val="00C3206C"/>
    <w:rsid w:val="00D679F1"/>
    <w:rsid w:val="00E33780"/>
    <w:rsid w:val="00F22842"/>
    <w:rsid w:val="00FA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4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040D"/>
  </w:style>
  <w:style w:type="character" w:customStyle="1" w:styleId="WW8Num1z0">
    <w:name w:val="WW8Num1z0"/>
    <w:rsid w:val="00AC040D"/>
    <w:rPr>
      <w:rFonts w:ascii="Symbol" w:eastAsia="Times New Roman" w:hAnsi="Symbol" w:cs="Times New Roman"/>
    </w:rPr>
  </w:style>
  <w:style w:type="character" w:customStyle="1" w:styleId="WW8Num1z1">
    <w:name w:val="WW8Num1z1"/>
    <w:rsid w:val="00AC040D"/>
    <w:rPr>
      <w:rFonts w:ascii="Courier New" w:hAnsi="Courier New" w:cs="Courier New"/>
    </w:rPr>
  </w:style>
  <w:style w:type="character" w:customStyle="1" w:styleId="WW8Num1z2">
    <w:name w:val="WW8Num1z2"/>
    <w:rsid w:val="00AC040D"/>
    <w:rPr>
      <w:rFonts w:ascii="Wingdings" w:hAnsi="Wingdings"/>
    </w:rPr>
  </w:style>
  <w:style w:type="character" w:customStyle="1" w:styleId="WW8Num1z3">
    <w:name w:val="WW8Num1z3"/>
    <w:rsid w:val="00AC040D"/>
    <w:rPr>
      <w:rFonts w:ascii="Symbol" w:hAnsi="Symbol"/>
    </w:rPr>
  </w:style>
  <w:style w:type="character" w:customStyle="1" w:styleId="WW8Num2z0">
    <w:name w:val="WW8Num2z0"/>
    <w:rsid w:val="00AC040D"/>
    <w:rPr>
      <w:rFonts w:ascii="Symbol" w:eastAsia="Times New Roman" w:hAnsi="Symbol" w:cs="Times New Roman"/>
    </w:rPr>
  </w:style>
  <w:style w:type="character" w:customStyle="1" w:styleId="WW8Num2z1">
    <w:name w:val="WW8Num2z1"/>
    <w:rsid w:val="00AC040D"/>
    <w:rPr>
      <w:rFonts w:ascii="Courier New" w:hAnsi="Courier New" w:cs="Courier New"/>
    </w:rPr>
  </w:style>
  <w:style w:type="character" w:customStyle="1" w:styleId="WW8Num2z2">
    <w:name w:val="WW8Num2z2"/>
    <w:rsid w:val="00AC040D"/>
    <w:rPr>
      <w:rFonts w:ascii="Wingdings" w:hAnsi="Wingdings"/>
    </w:rPr>
  </w:style>
  <w:style w:type="character" w:customStyle="1" w:styleId="WW8Num2z3">
    <w:name w:val="WW8Num2z3"/>
    <w:rsid w:val="00AC040D"/>
    <w:rPr>
      <w:rFonts w:ascii="Symbol" w:hAnsi="Symbol"/>
    </w:rPr>
  </w:style>
  <w:style w:type="character" w:customStyle="1" w:styleId="WW8Num3z0">
    <w:name w:val="WW8Num3z0"/>
    <w:rsid w:val="00AC040D"/>
    <w:rPr>
      <w:rFonts w:ascii="Symbol" w:hAnsi="Symbol"/>
      <w:sz w:val="20"/>
    </w:rPr>
  </w:style>
  <w:style w:type="character" w:customStyle="1" w:styleId="WW8Num3z1">
    <w:name w:val="WW8Num3z1"/>
    <w:rsid w:val="00AC040D"/>
    <w:rPr>
      <w:rFonts w:ascii="Courier New" w:hAnsi="Courier New"/>
      <w:sz w:val="20"/>
    </w:rPr>
  </w:style>
  <w:style w:type="character" w:customStyle="1" w:styleId="WW8Num3z2">
    <w:name w:val="WW8Num3z2"/>
    <w:rsid w:val="00AC040D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AC040D"/>
  </w:style>
  <w:style w:type="character" w:styleId="Hipercze">
    <w:name w:val="Hyperlink"/>
    <w:basedOn w:val="Domylnaczcionkaakapitu1"/>
    <w:rsid w:val="00AC040D"/>
    <w:rPr>
      <w:color w:val="0000FF"/>
      <w:u w:val="single"/>
    </w:rPr>
  </w:style>
  <w:style w:type="character" w:customStyle="1" w:styleId="articleseparator">
    <w:name w:val="article_separator"/>
    <w:basedOn w:val="Domylnaczcionkaakapitu1"/>
    <w:rsid w:val="00AC040D"/>
  </w:style>
  <w:style w:type="paragraph" w:customStyle="1" w:styleId="Nagwek1">
    <w:name w:val="Nagłówek1"/>
    <w:basedOn w:val="Normalny"/>
    <w:next w:val="Tekstpodstawowy"/>
    <w:rsid w:val="00AC040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040D"/>
    <w:pPr>
      <w:spacing w:after="120"/>
    </w:pPr>
  </w:style>
  <w:style w:type="paragraph" w:styleId="Lista">
    <w:name w:val="List"/>
    <w:basedOn w:val="Tekstpodstawowy"/>
    <w:rsid w:val="00AC040D"/>
    <w:rPr>
      <w:rFonts w:cs="Mangal"/>
    </w:rPr>
  </w:style>
  <w:style w:type="paragraph" w:customStyle="1" w:styleId="Podpis1">
    <w:name w:val="Podpis1"/>
    <w:basedOn w:val="Normalny"/>
    <w:rsid w:val="00AC0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040D"/>
    <w:pPr>
      <w:suppressLineNumbers/>
    </w:pPr>
    <w:rPr>
      <w:rFonts w:cs="Mangal"/>
    </w:rPr>
  </w:style>
  <w:style w:type="paragraph" w:styleId="NormalnyWeb">
    <w:name w:val="Normal (Web)"/>
    <w:basedOn w:val="Normalny"/>
    <w:rsid w:val="00AC040D"/>
    <w:pPr>
      <w:spacing w:before="280" w:after="280"/>
    </w:pPr>
  </w:style>
  <w:style w:type="paragraph" w:customStyle="1" w:styleId="Zawartotabeli">
    <w:name w:val="Zawartość tabeli"/>
    <w:basedOn w:val="Normalny"/>
    <w:rsid w:val="00AC040D"/>
    <w:pPr>
      <w:suppressLineNumbers/>
    </w:pPr>
  </w:style>
  <w:style w:type="paragraph" w:customStyle="1" w:styleId="Nagwektabeli">
    <w:name w:val="Nagłówek tabeli"/>
    <w:basedOn w:val="Zawartotabeli"/>
    <w:rsid w:val="00AC040D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22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84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2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2842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F2284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228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4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wfpl.panda.org/co_robimy/rzeki/biala_tarnowska/slownik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EDA5-EBF9-4F74-985A-916706A0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Rzeka Biała Tarnowska………</vt:lpstr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Rzeka Biała Tarnowska………</dc:title>
  <dc:subject/>
  <dc:creator>zx</dc:creator>
  <cp:keywords/>
  <cp:lastModifiedBy>Użytkownik</cp:lastModifiedBy>
  <cp:revision>8</cp:revision>
  <cp:lastPrinted>1900-12-31T22:00:00Z</cp:lastPrinted>
  <dcterms:created xsi:type="dcterms:W3CDTF">2014-09-18T09:39:00Z</dcterms:created>
  <dcterms:modified xsi:type="dcterms:W3CDTF">2014-09-22T10:00:00Z</dcterms:modified>
</cp:coreProperties>
</file>